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C34A68" w:rsidRDefault="00626108">
      <w:pPr>
        <w:pStyle w:val="Heading2"/>
      </w:pPr>
      <w:r>
        <w:t>02091 Ured Komisije za odnose s vjerskim zajednicama</w:t>
      </w:r>
    </w:p>
    <w:p w:rsidR="00C34A68" w:rsidRDefault="00626108">
      <w:r>
        <w:t>Komisija za odnose s vjerskim zajednicama (Komisija), osnovana je kao međuresorno tijelo Vlade RH na temelju Zakona o pravnom položaju vjerskih zajednica. Sukladno navedenom zakonu Komisija provodi akte koji uređuju odnos države i vjerskih zajednica, te ra</w:t>
      </w:r>
      <w:r>
        <w:t xml:space="preserve">zmatra pitanja od značenja za položaj i djelovanje vjerskih zajednica.  </w:t>
      </w:r>
    </w:p>
    <w:p w:rsidR="00C34A68" w:rsidRDefault="00626108">
      <w:r>
        <w:t xml:space="preserve">Ured Komisije </w:t>
      </w:r>
      <w:proofErr w:type="spellStart"/>
      <w:r>
        <w:t>djeluje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stručna služba Vlade RH i stručna je podrška radu Komisije, te radu mješovitih komisija i povjerenstava koja su osnovana sukladno međunarodnim ugovorima sa</w:t>
      </w:r>
      <w:r>
        <w:t xml:space="preserve"> Svetom Stolicom i ugovorima Vlade RH i vjerskih zajednica o pitanjima od zajedničkog interesa kad ista rješavaju pitanja provedbe navedenih ugovora.  </w:t>
      </w:r>
    </w:p>
    <w:p w:rsidR="00C34A68" w:rsidRDefault="00626108">
      <w:proofErr w:type="spellStart"/>
      <w:r>
        <w:t>Unutar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državne uprave Ured Komisije koordinira i surađuje sa tijelima državne uprave na ostvar</w:t>
      </w:r>
      <w:r>
        <w:t xml:space="preserve">ivanju institucionalnog (kolektivnog) aspekta slobode vjeroispovijedi, te neposredno surađuje i pruža pomoć vjerskim zajednicama na ostvarivanju prava vjerskih zajednica propisanih Ustavom RH, međunarodnim ugovorima i konvencijama, zakonima RH i ugovorima </w:t>
      </w:r>
      <w:r>
        <w:t xml:space="preserve">sklopljenim između Vlade RH i vjerskih zajednica.  </w:t>
      </w:r>
    </w:p>
    <w:p w:rsidR="00C34A68" w:rsidRDefault="00626108">
      <w:proofErr w:type="spellStart"/>
      <w:r>
        <w:t>Sve</w:t>
      </w:r>
      <w:proofErr w:type="spellEnd"/>
      <w:r>
        <w:t xml:space="preserve"> navedeno Ured Komisije obavljao je tijekom 2023. godine. </w:t>
      </w:r>
    </w:p>
    <w:p w:rsidR="00C34A68" w:rsidRDefault="00626108">
      <w:proofErr w:type="spellStart"/>
      <w:r>
        <w:t>Također</w:t>
      </w:r>
      <w:proofErr w:type="spellEnd"/>
      <w:r>
        <w:t xml:space="preserve">, Ured Komisije </w:t>
      </w:r>
      <w:proofErr w:type="spellStart"/>
      <w:r>
        <w:t>zaprima</w:t>
      </w:r>
      <w:proofErr w:type="spellEnd"/>
      <w:r>
        <w:t xml:space="preserve"> i obrađuje izvještaje vjerskih zajednica o potrošnji proračunskih sredstava, priprema i provodi kontrole na</w:t>
      </w:r>
      <w:r>
        <w:t xml:space="preserve"> licu mjesta o potrošnji sredstava doznačenih vjerskim zajednicama iz Državnog proračuna RH.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C34A68">
        <w:trPr>
          <w:jc w:val="center"/>
        </w:trPr>
        <w:tc>
          <w:tcPr>
            <w:tcW w:w="1632" w:type="dxa"/>
            <w:shd w:val="clear" w:color="auto" w:fill="B5C0D8"/>
          </w:tcPr>
          <w:p w:rsidR="00C34A68" w:rsidRDefault="00C34A68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C34A68">
        <w:trPr>
          <w:jc w:val="center"/>
        </w:trPr>
        <w:tc>
          <w:tcPr>
            <w:tcW w:w="1632" w:type="dxa"/>
            <w:vAlign w:val="top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02091-Ured Komisije za odnose s vjerskim zajednicama</w:t>
            </w:r>
          </w:p>
        </w:tc>
        <w:tc>
          <w:tcPr>
            <w:tcW w:w="2041" w:type="dxa"/>
            <w:vAlign w:val="top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3.375.579</w:t>
            </w:r>
          </w:p>
        </w:tc>
        <w:tc>
          <w:tcPr>
            <w:tcW w:w="2041" w:type="dxa"/>
            <w:vAlign w:val="top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3.694.906</w:t>
            </w:r>
          </w:p>
        </w:tc>
        <w:tc>
          <w:tcPr>
            <w:tcW w:w="2041" w:type="dxa"/>
            <w:vAlign w:val="top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3.683.158</w:t>
            </w:r>
          </w:p>
        </w:tc>
        <w:tc>
          <w:tcPr>
            <w:tcW w:w="1224" w:type="dxa"/>
            <w:vAlign w:val="top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99,7</w:t>
            </w:r>
          </w:p>
        </w:tc>
        <w:tc>
          <w:tcPr>
            <w:tcW w:w="1224" w:type="dxa"/>
            <w:vAlign w:val="top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109,1</w:t>
            </w:r>
          </w:p>
        </w:tc>
      </w:tr>
      <w:tr w:rsidR="00C34A68">
        <w:trPr>
          <w:jc w:val="center"/>
        </w:trPr>
        <w:tc>
          <w:tcPr>
            <w:tcW w:w="1632" w:type="dxa"/>
          </w:tcPr>
          <w:p w:rsidR="00C34A68" w:rsidRDefault="00626108">
            <w:pPr>
              <w:jc w:val="left"/>
            </w:pPr>
            <w:r>
              <w:t>3916-ODNOSI REPUBLIKE HRVATSKE I VJERSKIH ZAJEDNICA</w:t>
            </w:r>
          </w:p>
        </w:tc>
        <w:tc>
          <w:tcPr>
            <w:tcW w:w="2041" w:type="dxa"/>
          </w:tcPr>
          <w:p w:rsidR="00C34A68" w:rsidRDefault="00626108">
            <w:pPr>
              <w:jc w:val="right"/>
            </w:pPr>
            <w:r>
              <w:t>106.223</w:t>
            </w:r>
          </w:p>
        </w:tc>
        <w:tc>
          <w:tcPr>
            <w:tcW w:w="2041" w:type="dxa"/>
          </w:tcPr>
          <w:p w:rsidR="00C34A68" w:rsidRDefault="00626108">
            <w:pPr>
              <w:jc w:val="right"/>
            </w:pPr>
            <w:r>
              <w:t>119.757</w:t>
            </w:r>
          </w:p>
        </w:tc>
        <w:tc>
          <w:tcPr>
            <w:tcW w:w="2041" w:type="dxa"/>
          </w:tcPr>
          <w:p w:rsidR="00C34A68" w:rsidRDefault="00626108">
            <w:pPr>
              <w:jc w:val="right"/>
            </w:pPr>
            <w:r>
              <w:t>112.731</w:t>
            </w:r>
          </w:p>
        </w:tc>
        <w:tc>
          <w:tcPr>
            <w:tcW w:w="1224" w:type="dxa"/>
          </w:tcPr>
          <w:p w:rsidR="00C34A68" w:rsidRDefault="00626108">
            <w:pPr>
              <w:jc w:val="right"/>
            </w:pPr>
            <w:r>
              <w:t>94,1</w:t>
            </w:r>
          </w:p>
        </w:tc>
        <w:tc>
          <w:tcPr>
            <w:tcW w:w="1224" w:type="dxa"/>
          </w:tcPr>
          <w:p w:rsidR="00C34A68" w:rsidRDefault="00626108">
            <w:pPr>
              <w:jc w:val="right"/>
            </w:pPr>
            <w:r>
              <w:t>106,1</w:t>
            </w:r>
          </w:p>
        </w:tc>
      </w:tr>
      <w:tr w:rsidR="00C34A68">
        <w:trPr>
          <w:jc w:val="center"/>
        </w:trPr>
        <w:tc>
          <w:tcPr>
            <w:tcW w:w="1632" w:type="dxa"/>
          </w:tcPr>
          <w:p w:rsidR="00C34A68" w:rsidRDefault="00626108">
            <w:pPr>
              <w:jc w:val="left"/>
            </w:pPr>
            <w:r>
              <w:t>3917-POTPORE VJERSKIM ZAJEDNICAMA</w:t>
            </w:r>
          </w:p>
        </w:tc>
        <w:tc>
          <w:tcPr>
            <w:tcW w:w="2041" w:type="dxa"/>
          </w:tcPr>
          <w:p w:rsidR="00C34A68" w:rsidRDefault="00626108">
            <w:pPr>
              <w:jc w:val="right"/>
            </w:pPr>
            <w:r>
              <w:t>3.269.357</w:t>
            </w:r>
          </w:p>
        </w:tc>
        <w:tc>
          <w:tcPr>
            <w:tcW w:w="2041" w:type="dxa"/>
          </w:tcPr>
          <w:p w:rsidR="00C34A68" w:rsidRDefault="00626108">
            <w:pPr>
              <w:jc w:val="right"/>
            </w:pPr>
            <w:r>
              <w:t>3.575.149</w:t>
            </w:r>
          </w:p>
        </w:tc>
        <w:tc>
          <w:tcPr>
            <w:tcW w:w="2041" w:type="dxa"/>
          </w:tcPr>
          <w:p w:rsidR="00C34A68" w:rsidRDefault="00626108">
            <w:pPr>
              <w:jc w:val="right"/>
            </w:pPr>
            <w:r>
              <w:t>3.570.426</w:t>
            </w:r>
          </w:p>
        </w:tc>
        <w:tc>
          <w:tcPr>
            <w:tcW w:w="1224" w:type="dxa"/>
          </w:tcPr>
          <w:p w:rsidR="00C34A68" w:rsidRDefault="00626108">
            <w:pPr>
              <w:jc w:val="right"/>
            </w:pPr>
            <w:r>
              <w:t>99,9</w:t>
            </w:r>
          </w:p>
        </w:tc>
        <w:tc>
          <w:tcPr>
            <w:tcW w:w="1224" w:type="dxa"/>
          </w:tcPr>
          <w:p w:rsidR="00C34A68" w:rsidRDefault="00626108">
            <w:pPr>
              <w:jc w:val="right"/>
            </w:pPr>
            <w:r>
              <w:t>109,2</w:t>
            </w:r>
          </w:p>
        </w:tc>
      </w:tr>
    </w:tbl>
    <w:p w:rsidR="00C34A68" w:rsidRDefault="00C34A68">
      <w:pPr>
        <w:jc w:val="left"/>
      </w:pPr>
    </w:p>
    <w:p w:rsidR="00C34A68" w:rsidRDefault="00626108">
      <w:pPr>
        <w:pStyle w:val="Heading3"/>
      </w:pPr>
      <w:r>
        <w:rPr>
          <w:rFonts w:cs="Times New Roman"/>
        </w:rPr>
        <w:t>3916 ODNOSI REPUBLIKE HRVATSKE I VJERSKIH ZAJEDNICA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C34A68">
        <w:trPr>
          <w:jc w:val="center"/>
        </w:trPr>
        <w:tc>
          <w:tcPr>
            <w:tcW w:w="1632" w:type="dxa"/>
            <w:shd w:val="clear" w:color="auto" w:fill="B5C0D8"/>
          </w:tcPr>
          <w:p w:rsidR="00C34A68" w:rsidRDefault="00C34A68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Index izvršenje 2023./2022.</w:t>
            </w:r>
          </w:p>
        </w:tc>
      </w:tr>
      <w:tr w:rsidR="00C34A68">
        <w:trPr>
          <w:jc w:val="center"/>
        </w:trPr>
        <w:tc>
          <w:tcPr>
            <w:tcW w:w="1632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3916-ODNOSI REPUBLIKE HRVATSKE I VJERSKIH ZAJEDNICA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106.223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119.757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112.731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94,1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106,1</w:t>
            </w:r>
          </w:p>
        </w:tc>
      </w:tr>
    </w:tbl>
    <w:p w:rsidR="00C34A68" w:rsidRDefault="00C34A68">
      <w:pPr>
        <w:jc w:val="left"/>
      </w:pPr>
    </w:p>
    <w:p w:rsidR="00C34A68" w:rsidRDefault="00626108">
      <w:pPr>
        <w:pStyle w:val="Heading8"/>
        <w:jc w:val="left"/>
      </w:pPr>
      <w:r>
        <w:lastRenderedPageBreak/>
        <w:t xml:space="preserve">Cilj 1. Uređenje odnosa Republike Hrvatske i vjerskih zajednica </w:t>
      </w:r>
    </w:p>
    <w:p w:rsidR="00C34A68" w:rsidRDefault="00626108">
      <w:pPr>
        <w:pStyle w:val="Heading8"/>
        <w:jc w:val="left"/>
      </w:pPr>
      <w:r>
        <w:t>Opis provedbe cilja programa</w:t>
      </w:r>
    </w:p>
    <w:p w:rsidR="00C34A68" w:rsidRDefault="00626108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C34A68" w:rsidTr="00B82E6D">
        <w:trPr>
          <w:jc w:val="center"/>
        </w:trPr>
        <w:tc>
          <w:tcPr>
            <w:tcW w:w="2553" w:type="dxa"/>
            <w:shd w:val="clear" w:color="auto" w:fill="B5C0D8"/>
          </w:tcPr>
          <w:p w:rsidR="00C34A68" w:rsidRDefault="00626108">
            <w:pPr>
              <w:jc w:val="center"/>
            </w:pPr>
            <w:r>
              <w:t>Pokazatelj učinka</w:t>
            </w:r>
          </w:p>
        </w:tc>
        <w:tc>
          <w:tcPr>
            <w:tcW w:w="2553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C34A68" w:rsidTr="00B82E6D">
        <w:trPr>
          <w:jc w:val="center"/>
        </w:trPr>
        <w:tc>
          <w:tcPr>
            <w:tcW w:w="2553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Potpuna primjena pravnog okvira kojim se uređuje odnos države i vjerskih zajednica.</w:t>
            </w:r>
          </w:p>
        </w:tc>
        <w:tc>
          <w:tcPr>
            <w:tcW w:w="2553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Ured Komisije izrađuje akte kao stručna i administrativna potpora rada Komisije za odnose s vjerskim zajednicama, akte vezane uz suradnju s nadležnim ministarstvima i drugim državnim institucijama kao i akte u vezi s odnosima s vjerskim zajednicama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broj iz</w:t>
            </w:r>
            <w:r>
              <w:rPr>
                <w:rFonts w:cs="Times New Roman"/>
              </w:rPr>
              <w:t>laznih akata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160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Ured Komisije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165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162</w:t>
            </w:r>
          </w:p>
        </w:tc>
      </w:tr>
    </w:tbl>
    <w:p w:rsidR="00C34A68" w:rsidRDefault="00C34A68">
      <w:pPr>
        <w:jc w:val="left"/>
      </w:pPr>
    </w:p>
    <w:p w:rsidR="00C34A68" w:rsidRDefault="00626108">
      <w:pPr>
        <w:pStyle w:val="Heading4"/>
      </w:pPr>
      <w:r>
        <w:t>A872001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995"/>
        <w:gridCol w:w="1992"/>
        <w:gridCol w:w="1995"/>
        <w:gridCol w:w="1214"/>
        <w:gridCol w:w="1218"/>
      </w:tblGrid>
      <w:tr w:rsidR="00C34A68">
        <w:trPr>
          <w:jc w:val="center"/>
        </w:trPr>
        <w:tc>
          <w:tcPr>
            <w:tcW w:w="1632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C34A68">
        <w:trPr>
          <w:jc w:val="center"/>
        </w:trPr>
        <w:tc>
          <w:tcPr>
            <w:tcW w:w="1632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A872001-ADMINISTRACIJA I UPRAVLJANJE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104.817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117.387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112.098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95,5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106,9</w:t>
            </w:r>
          </w:p>
        </w:tc>
      </w:tr>
    </w:tbl>
    <w:p w:rsidR="00C34A68" w:rsidRDefault="00C34A68">
      <w:pPr>
        <w:jc w:val="left"/>
      </w:pPr>
    </w:p>
    <w:p w:rsidR="00C34A68" w:rsidRDefault="00626108">
      <w:pPr>
        <w:pStyle w:val="Heading8"/>
        <w:jc w:val="left"/>
      </w:pPr>
      <w:r>
        <w:t>Zakonske i druge pravne osnove</w:t>
      </w:r>
    </w:p>
    <w:p w:rsidR="00C34A68" w:rsidRDefault="00626108">
      <w:r>
        <w:t xml:space="preserve">-Zakon o pravnom položaju vjerskih zajednica, </w:t>
      </w:r>
    </w:p>
    <w:p w:rsidR="00C34A68" w:rsidRDefault="00626108">
      <w:r>
        <w:t xml:space="preserve">-Uredba o osnivanju Komisije za odnose s vjerskim zajednicama i Ureda Komisije za odnose s vjerskim zajednicama, </w:t>
      </w:r>
    </w:p>
    <w:p w:rsidR="00C34A68" w:rsidRDefault="00626108">
      <w:r>
        <w:t xml:space="preserve">-Međunarodni Ugovori između Svete Stolice i RH </w:t>
      </w:r>
    </w:p>
    <w:p w:rsidR="00C34A68" w:rsidRDefault="00626108">
      <w:r>
        <w:t>-Protokoli o izvršavanju određenih financijskih obveza RH prema vjerskim zajednicama, sukladno</w:t>
      </w:r>
      <w:r>
        <w:t xml:space="preserve"> Ugovorima o pitanjima od zajedničkog interesa</w:t>
      </w:r>
    </w:p>
    <w:p w:rsidR="00C34A68" w:rsidRDefault="00626108">
      <w:pPr>
        <w:pStyle w:val="Heading8"/>
        <w:jc w:val="left"/>
      </w:pPr>
      <w:r>
        <w:t>Opis aktivnosti</w:t>
      </w:r>
    </w:p>
    <w:p w:rsidR="00C34A68" w:rsidRDefault="00626108">
      <w:r>
        <w:t xml:space="preserve">Tijekom 2023. godine za rashode za zaposlene za 3 djelatnika utrošeno je 105.335,63 eura. </w:t>
      </w:r>
    </w:p>
    <w:p w:rsidR="00C34A68" w:rsidRDefault="00626108">
      <w:r>
        <w:t>Ostatak preostalih sredstava kroz ovu aktivnost u iznosu od 6.762,47 euro odnosi se na „hladni pogon“,</w:t>
      </w:r>
      <w:r>
        <w:t xml:space="preserve"> a isti obuhvaća: podmirenje troškova službenih putovanja za potrebe terenskih kontrola utroška sredstava od strane vjerskih zajednica isplaćenih iz Državnog proračuna Republike Hrvatske, naknade za prijevoz na posao i s posla djelatnika Ureda, nabavu ured</w:t>
      </w:r>
      <w:r>
        <w:t xml:space="preserve">skih potrepština i inventara, telekomunikacijske usluge i poštarinu, podmirenje usluge dostave eRačuna, uvođenje pristupne točke za aplikaciju e-uredsko, internu reprezentaciju, troškove uveza i nabavu 2 mobilna aparata. </w:t>
      </w:r>
    </w:p>
    <w:p w:rsidR="00C34A68" w:rsidRDefault="00626108">
      <w:r>
        <w:t xml:space="preserve">U odnosu na </w:t>
      </w:r>
      <w:proofErr w:type="spellStart"/>
      <w:r>
        <w:t>izvršenje</w:t>
      </w:r>
      <w:proofErr w:type="spellEnd"/>
      <w:r>
        <w:t xml:space="preserve"> 2022. godi</w:t>
      </w:r>
      <w:r>
        <w:t>ne, izvršenje 2023. godine je za 6,9% veće zbog povećanja osnovice i materijalnih prava za državne službenike i namještenike.</w:t>
      </w:r>
    </w:p>
    <w:p w:rsidR="00C34A68" w:rsidRDefault="00C34A68">
      <w:pPr>
        <w:jc w:val="left"/>
      </w:pPr>
    </w:p>
    <w:p w:rsidR="00C34A68" w:rsidRDefault="00626108">
      <w:pPr>
        <w:pStyle w:val="Heading4"/>
      </w:pPr>
      <w:r>
        <w:lastRenderedPageBreak/>
        <w:t>K872002 INFORMATIZACIJA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963"/>
        <w:gridCol w:w="1945"/>
        <w:gridCol w:w="1963"/>
        <w:gridCol w:w="1207"/>
        <w:gridCol w:w="1214"/>
      </w:tblGrid>
      <w:tr w:rsidR="00C34A68">
        <w:trPr>
          <w:jc w:val="center"/>
        </w:trPr>
        <w:tc>
          <w:tcPr>
            <w:tcW w:w="1632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C34A68">
        <w:trPr>
          <w:jc w:val="center"/>
        </w:trPr>
        <w:tc>
          <w:tcPr>
            <w:tcW w:w="1632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K872002-INFORMATIZACIJA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1.406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2.370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633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26,7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45,0</w:t>
            </w:r>
          </w:p>
        </w:tc>
      </w:tr>
    </w:tbl>
    <w:p w:rsidR="00C34A68" w:rsidRDefault="00C34A68">
      <w:pPr>
        <w:jc w:val="left"/>
      </w:pPr>
    </w:p>
    <w:p w:rsidR="00C34A68" w:rsidRDefault="00626108">
      <w:pPr>
        <w:pStyle w:val="Heading8"/>
        <w:jc w:val="left"/>
      </w:pPr>
      <w:r>
        <w:t>Zakonske i druge pravne osnove</w:t>
      </w:r>
    </w:p>
    <w:p w:rsidR="00C34A68" w:rsidRDefault="00626108">
      <w:r>
        <w:t xml:space="preserve">Uredba o općim pravilima za unutarnje ustrojstvo tijela državne uprave, </w:t>
      </w:r>
    </w:p>
    <w:p w:rsidR="00C34A68" w:rsidRDefault="00626108">
      <w:r>
        <w:t>Uredba o osnivanju Komisije za odnose s vjerskim zajednicama i Ureda Komisije za odnose s vjerskim zajednicama</w:t>
      </w:r>
    </w:p>
    <w:p w:rsidR="00C34A68" w:rsidRDefault="00626108">
      <w:pPr>
        <w:pStyle w:val="Heading8"/>
        <w:jc w:val="left"/>
      </w:pPr>
      <w:r>
        <w:t>Opis aktivnosti</w:t>
      </w:r>
    </w:p>
    <w:p w:rsidR="00C34A68" w:rsidRDefault="00626108">
      <w:r>
        <w:t>Tijekom 2023. godine sre</w:t>
      </w:r>
      <w:r>
        <w:t>dstva su utrošena za Microsoft licence te za nabavu 1 printera.</w:t>
      </w:r>
    </w:p>
    <w:p w:rsidR="00C34A68" w:rsidRDefault="00626108">
      <w:pPr>
        <w:pStyle w:val="Heading3"/>
      </w:pPr>
      <w:r>
        <w:rPr>
          <w:rFonts w:cs="Times New Roman"/>
        </w:rPr>
        <w:t>3917 POTPORE VJERSKIM ZAJEDNICAMA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C34A68">
        <w:trPr>
          <w:jc w:val="center"/>
        </w:trPr>
        <w:tc>
          <w:tcPr>
            <w:tcW w:w="1632" w:type="dxa"/>
            <w:shd w:val="clear" w:color="auto" w:fill="B5C0D8"/>
          </w:tcPr>
          <w:p w:rsidR="00C34A68" w:rsidRDefault="00C34A68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Index izvršenje 2023./2022.</w:t>
            </w:r>
          </w:p>
        </w:tc>
      </w:tr>
      <w:tr w:rsidR="00C34A68">
        <w:trPr>
          <w:jc w:val="center"/>
        </w:trPr>
        <w:tc>
          <w:tcPr>
            <w:tcW w:w="1632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3917-POTPORE VJERSKIM ZAJEDNICAMA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3.269.357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3.575.149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3.570.426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99,9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109,2</w:t>
            </w:r>
          </w:p>
        </w:tc>
      </w:tr>
    </w:tbl>
    <w:p w:rsidR="00C34A68" w:rsidRDefault="00C34A68">
      <w:pPr>
        <w:jc w:val="left"/>
      </w:pPr>
    </w:p>
    <w:p w:rsidR="00C34A68" w:rsidRDefault="00626108">
      <w:pPr>
        <w:pStyle w:val="Heading8"/>
        <w:jc w:val="left"/>
      </w:pPr>
      <w:r>
        <w:t xml:space="preserve">Cilj 1. Pružanje potpore vjerskim zajednicama </w:t>
      </w:r>
    </w:p>
    <w:p w:rsidR="00C34A68" w:rsidRDefault="00626108">
      <w:pPr>
        <w:pStyle w:val="Heading8"/>
        <w:jc w:val="left"/>
      </w:pPr>
      <w:r>
        <w:t>Opis provedbe cilja programa</w:t>
      </w:r>
    </w:p>
    <w:p w:rsidR="00C34A68" w:rsidRDefault="00626108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C34A68" w:rsidTr="00B82E6D">
        <w:trPr>
          <w:jc w:val="center"/>
        </w:trPr>
        <w:tc>
          <w:tcPr>
            <w:tcW w:w="2553" w:type="dxa"/>
            <w:shd w:val="clear" w:color="auto" w:fill="B5C0D8"/>
          </w:tcPr>
          <w:p w:rsidR="00C34A68" w:rsidRDefault="00626108">
            <w:pPr>
              <w:jc w:val="center"/>
            </w:pPr>
            <w:r>
              <w:t>Pokazatelj učinka</w:t>
            </w:r>
          </w:p>
        </w:tc>
        <w:tc>
          <w:tcPr>
            <w:tcW w:w="2553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C34A68" w:rsidTr="00B82E6D">
        <w:trPr>
          <w:jc w:val="center"/>
        </w:trPr>
        <w:tc>
          <w:tcPr>
            <w:tcW w:w="2553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 xml:space="preserve">Potpuna primjena odredbi Ugovora sa vjerskim </w:t>
            </w:r>
          </w:p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zajednicama</w:t>
            </w:r>
          </w:p>
        </w:tc>
        <w:tc>
          <w:tcPr>
            <w:tcW w:w="2553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Ured Komisije izrađuje Protokole o izvršavanju određenih financijskih obveza RH prema pojedinim vjerskim zajednicama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Ured Komisije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C34A68" w:rsidRDefault="00C34A68">
      <w:pPr>
        <w:jc w:val="left"/>
      </w:pPr>
    </w:p>
    <w:p w:rsidR="00C34A68" w:rsidRDefault="00626108">
      <w:pPr>
        <w:pStyle w:val="Heading4"/>
      </w:pPr>
      <w:r>
        <w:t>A872003 POTICAJI PREMA UGOVORIMA VLADE RH I VJERSKIH ZAJEDNICA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C34A68">
        <w:trPr>
          <w:jc w:val="center"/>
        </w:trPr>
        <w:tc>
          <w:tcPr>
            <w:tcW w:w="1632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C34A68">
        <w:trPr>
          <w:jc w:val="center"/>
        </w:trPr>
        <w:tc>
          <w:tcPr>
            <w:tcW w:w="1632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A872003-POTICAJI PREMA UGOVORIMA VLADE RH I VJERSKIH ZAJEDNICA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3.269.357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3.575.149</w:t>
            </w:r>
          </w:p>
        </w:tc>
        <w:tc>
          <w:tcPr>
            <w:tcW w:w="2041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3.570.426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99,9</w:t>
            </w:r>
          </w:p>
        </w:tc>
        <w:tc>
          <w:tcPr>
            <w:tcW w:w="1224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109,2</w:t>
            </w:r>
          </w:p>
        </w:tc>
      </w:tr>
    </w:tbl>
    <w:p w:rsidR="00C34A68" w:rsidRDefault="00C34A68">
      <w:pPr>
        <w:jc w:val="left"/>
      </w:pPr>
    </w:p>
    <w:p w:rsidR="00C34A68" w:rsidRDefault="00626108">
      <w:pPr>
        <w:pStyle w:val="Heading8"/>
        <w:jc w:val="left"/>
      </w:pPr>
      <w:r>
        <w:t>Zakonske i druge pravne osnove</w:t>
      </w:r>
    </w:p>
    <w:p w:rsidR="00C34A68" w:rsidRDefault="00626108">
      <w:r>
        <w:t xml:space="preserve">-Zakon o pravnom položaju vjerskih zajednica čl.17 stavak 2, </w:t>
      </w:r>
    </w:p>
    <w:p w:rsidR="00C34A68" w:rsidRDefault="00626108">
      <w:r>
        <w:t xml:space="preserve">-Uredba o osnivanju Komisije za odnose s vjerskim zajednicama i Ureda Komisije za odnose s vjerskim zajednicama, </w:t>
      </w:r>
    </w:p>
    <w:p w:rsidR="00C34A68" w:rsidRDefault="00626108">
      <w:r>
        <w:t>-Ugovori o pitanjima od zajedničkog interesa s vjerskim zajednicama</w:t>
      </w:r>
    </w:p>
    <w:p w:rsidR="00C34A68" w:rsidRDefault="00626108">
      <w:pPr>
        <w:pStyle w:val="Heading8"/>
        <w:jc w:val="left"/>
      </w:pPr>
      <w:r>
        <w:t>Opis aktivnosti</w:t>
      </w:r>
    </w:p>
    <w:p w:rsidR="00C34A68" w:rsidRDefault="00626108">
      <w:r>
        <w:t>Potpore vjerskim zajednicama daju se za namjene označene u</w:t>
      </w:r>
      <w:r>
        <w:t xml:space="preserve"> odredbi članka 17. stavka 2. Zakona o pravnom položaju vjerskih zajednica. U novčani iznos koji se na temelju ugovora o pitanjima od zajedničkog interesa isplaćuje pojedinoj vjerskoj zajednici također su, uključeni troškovi za uzdržavanje vjerskih služben</w:t>
      </w:r>
      <w:r>
        <w:t>ika, pastoralno djelovanje i dušobrižničku skrb, troškovi izgradnje i uzdržavanja vjerskih objekata, zgrada vjerskih zajednica i vjerskih središta, koja nisu u popisu kulturnih dobara, te doprinos za karitativnu djelatnost vjerskih zajednica. Davanjem potp</w:t>
      </w:r>
      <w:r>
        <w:t>ora vjerskim zajednicama nastoje se poboljšati uvjeti za vjersko djelovanje vjerskih zajednica i suradnja države i vjerskih zajednica za opću dobrobit. Potpore su se u 2023. godini doznačavale vjerskim zajednicama kontinuirano tijekom cijele godine, kvarta</w:t>
      </w:r>
      <w:r>
        <w:t>lno sukladno ugovorima o pitanjima od zajedničkog interesa, a na sam izračun istih utjecale su i izmjene osnovica za izračun plaća javnih i državnih službenika i namještenika (1 puta tijekom 2023. godine). Tijekom 2023. godine sredstva su doznačena prema 2</w:t>
      </w:r>
      <w:r>
        <w:t xml:space="preserve">0 vjerskih zajednica temeljem 10 protokola umjesto dosadašnjih 9. Do povećanja je došlo radi sklapanja novog Ugovora sa Reformatskom crkvom Mađara u Hrvatskoj. Izvršenje za ovu namjenu u 2023. godini iznosilo je 3.553.926,44 euro. </w:t>
      </w:r>
    </w:p>
    <w:p w:rsidR="00C34A68" w:rsidRDefault="00626108">
      <w:proofErr w:type="spellStart"/>
      <w:r>
        <w:t>Također</w:t>
      </w:r>
      <w:proofErr w:type="spellEnd"/>
      <w:r>
        <w:t xml:space="preserve"> u okviru ove</w:t>
      </w:r>
      <w:r>
        <w:t xml:space="preserve"> aktivnosti je u 2023. godini izrađena aplikacija za unošenje troškova vjerskih zajednica, za što je utrošeno 16.500,00 euro. </w:t>
      </w:r>
    </w:p>
    <w:p w:rsidR="00C34A68" w:rsidRDefault="00626108">
      <w:r>
        <w:t xml:space="preserve">U odnosu na </w:t>
      </w:r>
      <w:proofErr w:type="spellStart"/>
      <w:r>
        <w:t>izvršenje</w:t>
      </w:r>
      <w:proofErr w:type="spellEnd"/>
      <w:r>
        <w:t xml:space="preserve"> 2022. godine, izvršenje 2023. godine je za 9,2% veće zbog povećanja osnovice za državne službenike i namj</w:t>
      </w:r>
      <w:r>
        <w:t>eštenike te uvođenja gore prethodno navedene aplikacije.</w:t>
      </w:r>
    </w:p>
    <w:p w:rsidR="00C34A68" w:rsidRDefault="00626108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C34A68" w:rsidTr="00B82E6D">
        <w:trPr>
          <w:jc w:val="center"/>
        </w:trPr>
        <w:tc>
          <w:tcPr>
            <w:tcW w:w="2553" w:type="dxa"/>
            <w:shd w:val="clear" w:color="auto" w:fill="B5C0D8"/>
          </w:tcPr>
          <w:p w:rsidR="00C34A68" w:rsidRDefault="00626108">
            <w:pPr>
              <w:jc w:val="center"/>
            </w:pPr>
            <w:r>
              <w:t>Pokazatelj rezultata</w:t>
            </w:r>
          </w:p>
        </w:tc>
        <w:tc>
          <w:tcPr>
            <w:tcW w:w="2553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C34A68" w:rsidRDefault="00626108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C34A68" w:rsidTr="00B82E6D">
        <w:trPr>
          <w:jc w:val="center"/>
        </w:trPr>
        <w:tc>
          <w:tcPr>
            <w:tcW w:w="2553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 xml:space="preserve">Potpisani protokoli </w:t>
            </w:r>
          </w:p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s vjerskim zajednicama</w:t>
            </w:r>
          </w:p>
        </w:tc>
        <w:tc>
          <w:tcPr>
            <w:tcW w:w="2553" w:type="dxa"/>
          </w:tcPr>
          <w:p w:rsidR="00C34A68" w:rsidRDefault="00626108">
            <w:pPr>
              <w:pStyle w:val="CellColumn"/>
              <w:jc w:val="left"/>
            </w:pPr>
            <w:r>
              <w:rPr>
                <w:rFonts w:cs="Times New Roman"/>
              </w:rPr>
              <w:t>Ured Komisije izrađuje Protokole o izvršavanju određenih financijskih obveza RH prema pojedinim vjerskim zajednicama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broj protokola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9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Ured Komisije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9</w:t>
            </w:r>
          </w:p>
        </w:tc>
        <w:tc>
          <w:tcPr>
            <w:tcW w:w="1020" w:type="dxa"/>
          </w:tcPr>
          <w:p w:rsidR="00C34A68" w:rsidRDefault="00626108">
            <w:pPr>
              <w:pStyle w:val="CellColumn"/>
              <w:jc w:val="right"/>
            </w:pPr>
            <w:r>
              <w:rPr>
                <w:rFonts w:cs="Times New Roman"/>
              </w:rPr>
              <w:t>10</w:t>
            </w:r>
          </w:p>
        </w:tc>
      </w:tr>
    </w:tbl>
    <w:p w:rsidR="00C34A68" w:rsidRDefault="00C34A68">
      <w:pPr>
        <w:jc w:val="left"/>
      </w:pPr>
      <w:bookmarkStart w:id="0" w:name="_GoBack"/>
      <w:bookmarkEnd w:id="0"/>
    </w:p>
    <w:sectPr w:rsidR="00C34A68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08" w:rsidRDefault="00626108" w:rsidP="00F352E6">
      <w:r>
        <w:separator/>
      </w:r>
    </w:p>
  </w:endnote>
  <w:endnote w:type="continuationSeparator" w:id="0">
    <w:p w:rsidR="00626108" w:rsidRDefault="00626108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626108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08" w:rsidRDefault="00626108" w:rsidP="00F352E6">
      <w:r>
        <w:separator/>
      </w:r>
    </w:p>
  </w:footnote>
  <w:footnote w:type="continuationSeparator" w:id="0">
    <w:p w:rsidR="00626108" w:rsidRDefault="00626108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626108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26108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82E6D"/>
    <w:rsid w:val="00BA487B"/>
    <w:rsid w:val="00BA7BD1"/>
    <w:rsid w:val="00BB642B"/>
    <w:rsid w:val="00BF02E9"/>
    <w:rsid w:val="00BF3F24"/>
    <w:rsid w:val="00C34A68"/>
    <w:rsid w:val="00C7470A"/>
    <w:rsid w:val="00D500AB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23EE3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41B7-B1C9-4AC5-8EB8-ED727117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Kristina Horvatić</cp:lastModifiedBy>
  <cp:revision>3</cp:revision>
  <dcterms:created xsi:type="dcterms:W3CDTF">2024-04-05T15:13:00Z</dcterms:created>
  <dcterms:modified xsi:type="dcterms:W3CDTF">2024-04-05T15:15:00Z</dcterms:modified>
</cp:coreProperties>
</file>